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5B5" w:rsidRDefault="00E435B5" w:rsidP="00E435B5">
      <w:pPr>
        <w:pBdr>
          <w:top w:val="none" w:sz="0" w:space="0" w:color="000000"/>
          <w:left w:val="none" w:sz="0" w:space="0" w:color="000000"/>
          <w:bottom w:val="none" w:sz="0" w:space="0" w:color="000000"/>
          <w:right w:val="none" w:sz="0" w:space="0" w:color="000000"/>
          <w:between w:val="none" w:sz="0" w:space="0" w:color="000000"/>
        </w:pBdr>
        <w:rPr>
          <w:rFonts w:eastAsia="Cambria"/>
          <w:i/>
          <w:color w:val="C00000"/>
          <w:sz w:val="22"/>
          <w:szCs w:val="22"/>
        </w:rPr>
      </w:pPr>
      <w:r>
        <w:rPr>
          <w:rFonts w:eastAsia="Cambria"/>
          <w:i/>
          <w:noProof/>
          <w:color w:val="C00000"/>
          <w:sz w:val="22"/>
          <w:szCs w:val="22"/>
        </w:rPr>
        <w:drawing>
          <wp:anchor distT="0" distB="0" distL="114300" distR="114300" simplePos="0" relativeHeight="251658240" behindDoc="0" locked="0" layoutInCell="1" allowOverlap="1">
            <wp:simplePos x="0" y="0"/>
            <wp:positionH relativeFrom="column">
              <wp:posOffset>-517236</wp:posOffset>
            </wp:positionH>
            <wp:positionV relativeFrom="paragraph">
              <wp:posOffset>-535708</wp:posOffset>
            </wp:positionV>
            <wp:extent cx="2207491" cy="109785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ACT HR73 Logo.png"/>
                    <pic:cNvPicPr/>
                  </pic:nvPicPr>
                  <pic:blipFill>
                    <a:blip r:embed="rId8">
                      <a:extLst>
                        <a:ext uri="{28A0092B-C50C-407E-A947-70E740481C1C}">
                          <a14:useLocalDpi xmlns:a14="http://schemas.microsoft.com/office/drawing/2010/main" val="0"/>
                        </a:ext>
                      </a:extLst>
                    </a:blip>
                    <a:stretch>
                      <a:fillRect/>
                    </a:stretch>
                  </pic:blipFill>
                  <pic:spPr>
                    <a:xfrm>
                      <a:off x="0" y="0"/>
                      <a:ext cx="2218447" cy="1103301"/>
                    </a:xfrm>
                    <a:prstGeom prst="rect">
                      <a:avLst/>
                    </a:prstGeom>
                  </pic:spPr>
                </pic:pic>
              </a:graphicData>
            </a:graphic>
            <wp14:sizeRelH relativeFrom="page">
              <wp14:pctWidth>0</wp14:pctWidth>
            </wp14:sizeRelH>
            <wp14:sizeRelV relativeFrom="page">
              <wp14:pctHeight>0</wp14:pctHeight>
            </wp14:sizeRelV>
          </wp:anchor>
        </w:drawing>
      </w:r>
    </w:p>
    <w:p w:rsidR="00E435B5" w:rsidRDefault="00E435B5">
      <w:pPr>
        <w:pBdr>
          <w:top w:val="none" w:sz="0" w:space="0" w:color="000000"/>
          <w:left w:val="none" w:sz="0" w:space="0" w:color="000000"/>
          <w:bottom w:val="none" w:sz="0" w:space="0" w:color="000000"/>
          <w:right w:val="none" w:sz="0" w:space="0" w:color="000000"/>
          <w:between w:val="none" w:sz="0" w:space="0" w:color="000000"/>
        </w:pBdr>
        <w:jc w:val="center"/>
        <w:rPr>
          <w:rFonts w:eastAsia="Cambria"/>
          <w:i/>
          <w:color w:val="C00000"/>
          <w:sz w:val="22"/>
          <w:szCs w:val="22"/>
        </w:rPr>
      </w:pPr>
    </w:p>
    <w:p w:rsidR="00A34DA0" w:rsidRDefault="00A34DA0">
      <w:pPr>
        <w:pBdr>
          <w:top w:val="none" w:sz="0" w:space="0" w:color="000000"/>
          <w:left w:val="none" w:sz="0" w:space="0" w:color="000000"/>
          <w:bottom w:val="none" w:sz="0" w:space="0" w:color="000000"/>
          <w:right w:val="none" w:sz="0" w:space="0" w:color="000000"/>
          <w:between w:val="none" w:sz="0" w:space="0" w:color="000000"/>
        </w:pBdr>
        <w:jc w:val="center"/>
        <w:rPr>
          <w:rFonts w:eastAsia="Cambria"/>
          <w:i/>
          <w:color w:val="C00000"/>
          <w:sz w:val="22"/>
          <w:szCs w:val="22"/>
        </w:rPr>
      </w:pPr>
    </w:p>
    <w:p w:rsidR="00A34DA0" w:rsidRDefault="00A34DA0">
      <w:pPr>
        <w:pBdr>
          <w:top w:val="none" w:sz="0" w:space="0" w:color="000000"/>
          <w:left w:val="none" w:sz="0" w:space="0" w:color="000000"/>
          <w:bottom w:val="none" w:sz="0" w:space="0" w:color="000000"/>
          <w:right w:val="none" w:sz="0" w:space="0" w:color="000000"/>
          <w:between w:val="none" w:sz="0" w:space="0" w:color="000000"/>
        </w:pBdr>
        <w:jc w:val="center"/>
        <w:rPr>
          <w:rFonts w:eastAsia="Cambria"/>
          <w:i/>
          <w:color w:val="C00000"/>
          <w:sz w:val="22"/>
          <w:szCs w:val="22"/>
        </w:rPr>
      </w:pPr>
    </w:p>
    <w:p w:rsidR="00612FB2" w:rsidRPr="00E435B5" w:rsidRDefault="00634FFE">
      <w:pPr>
        <w:pBdr>
          <w:top w:val="none" w:sz="0" w:space="0" w:color="000000"/>
          <w:left w:val="none" w:sz="0" w:space="0" w:color="000000"/>
          <w:bottom w:val="none" w:sz="0" w:space="0" w:color="000000"/>
          <w:right w:val="none" w:sz="0" w:space="0" w:color="000000"/>
          <w:between w:val="none" w:sz="0" w:space="0" w:color="000000"/>
        </w:pBdr>
        <w:jc w:val="center"/>
        <w:rPr>
          <w:rFonts w:eastAsia="Cambria"/>
          <w:i/>
          <w:color w:val="C00000"/>
          <w:sz w:val="22"/>
          <w:szCs w:val="22"/>
        </w:rPr>
      </w:pPr>
      <w:r w:rsidRPr="00E435B5">
        <w:rPr>
          <w:rFonts w:eastAsia="Cambria"/>
          <w:i/>
          <w:color w:val="C00000"/>
          <w:sz w:val="22"/>
          <w:szCs w:val="22"/>
        </w:rPr>
        <w:t>“Where, after all, do universal human rights begin? In small places, close to home – so close and so small that they cannot be seen on any maps of the world. Yet they are the world of the individual person; the neighborhood he lives in; the school or college he attends; the factory, farm or office where he works. Such are the places where every man, woman and child seeks equal justice, equal opportunity, equal dignity without discrimination. Unless these rights have meaning there, they have little meaning anywhere. Without concerned citizen action to uphold them close to home, we shall look in vain for progress in the larger world.”</w:t>
      </w:r>
    </w:p>
    <w:p w:rsidR="00612FB2" w:rsidRPr="00E435B5" w:rsidRDefault="00634FFE">
      <w:pPr>
        <w:pBdr>
          <w:top w:val="none" w:sz="0" w:space="0" w:color="000000"/>
          <w:left w:val="none" w:sz="0" w:space="0" w:color="000000"/>
          <w:bottom w:val="none" w:sz="0" w:space="0" w:color="000000"/>
          <w:right w:val="none" w:sz="0" w:space="0" w:color="000000"/>
          <w:between w:val="none" w:sz="0" w:space="0" w:color="000000"/>
        </w:pBdr>
        <w:jc w:val="center"/>
        <w:rPr>
          <w:rFonts w:eastAsia="Cambria"/>
          <w:color w:val="C00000"/>
          <w:sz w:val="22"/>
          <w:szCs w:val="22"/>
        </w:rPr>
      </w:pPr>
      <w:r w:rsidRPr="00E435B5">
        <w:rPr>
          <w:rFonts w:eastAsia="Cambria"/>
          <w:color w:val="C00000"/>
          <w:sz w:val="22"/>
          <w:szCs w:val="22"/>
        </w:rPr>
        <w:t>- Eleanor Roosevelt, Chair of Human Rights Commission for the United Nation</w:t>
      </w:r>
      <w:r w:rsidR="007F5813" w:rsidRPr="00E435B5">
        <w:rPr>
          <w:rFonts w:eastAsia="Cambria"/>
          <w:color w:val="C00000"/>
          <w:sz w:val="22"/>
          <w:szCs w:val="22"/>
        </w:rPr>
        <w:t>s</w:t>
      </w:r>
    </w:p>
    <w:p w:rsidR="00A34DA0" w:rsidRPr="00A34DA0" w:rsidRDefault="00A34DA0">
      <w:pPr>
        <w:pBdr>
          <w:bottom w:val="single" w:sz="6" w:space="1" w:color="auto"/>
        </w:pBdr>
        <w:jc w:val="center"/>
        <w:rPr>
          <w:rFonts w:eastAsia="Helvetica Neue"/>
          <w:b/>
          <w:i/>
          <w:color w:val="C00000"/>
          <w:sz w:val="38"/>
          <w:szCs w:val="38"/>
        </w:rPr>
      </w:pPr>
    </w:p>
    <w:p w:rsidR="00A34DA0" w:rsidRDefault="00A34DA0">
      <w:pPr>
        <w:jc w:val="center"/>
        <w:rPr>
          <w:rFonts w:eastAsia="Helvetica Neue"/>
          <w:b/>
          <w:i/>
          <w:color w:val="C00000"/>
          <w:sz w:val="38"/>
          <w:szCs w:val="38"/>
        </w:rPr>
      </w:pPr>
    </w:p>
    <w:p w:rsidR="00612FB2" w:rsidRPr="00F10A1F" w:rsidRDefault="00634FFE">
      <w:pPr>
        <w:jc w:val="center"/>
        <w:rPr>
          <w:rFonts w:eastAsia="Helvetica Neue"/>
          <w:b/>
          <w:color w:val="C00000"/>
          <w:sz w:val="56"/>
          <w:szCs w:val="56"/>
        </w:rPr>
      </w:pPr>
      <w:r w:rsidRPr="00F10A1F">
        <w:rPr>
          <w:rFonts w:eastAsia="Helvetica Neue"/>
          <w:b/>
          <w:i/>
          <w:color w:val="C00000"/>
          <w:sz w:val="56"/>
          <w:szCs w:val="56"/>
        </w:rPr>
        <w:t>Resources</w:t>
      </w:r>
    </w:p>
    <w:p w:rsidR="00612FB2" w:rsidRPr="00F10A1F" w:rsidRDefault="00634FFE">
      <w:pPr>
        <w:jc w:val="center"/>
        <w:rPr>
          <w:rFonts w:eastAsia="Helvetica Neue"/>
          <w:b/>
          <w:i/>
          <w:color w:val="C00000"/>
          <w:sz w:val="38"/>
          <w:szCs w:val="38"/>
        </w:rPr>
      </w:pPr>
      <w:r w:rsidRPr="00F10A1F">
        <w:rPr>
          <w:rFonts w:eastAsia="Helvetica Neue"/>
          <w:b/>
          <w:i/>
          <w:color w:val="C00000"/>
          <w:sz w:val="38"/>
          <w:szCs w:val="38"/>
        </w:rPr>
        <w:t>For learning more about Human Rights issues in the American Criminal Justice system</w:t>
      </w:r>
    </w:p>
    <w:p w:rsidR="00612FB2" w:rsidRPr="00F10A1F" w:rsidRDefault="00634FFE" w:rsidP="00A34DA0">
      <w:pPr>
        <w:jc w:val="center"/>
        <w:rPr>
          <w:rFonts w:eastAsia="Helvetica Neue"/>
          <w:i/>
          <w:color w:val="C00000"/>
          <w:sz w:val="28"/>
          <w:szCs w:val="28"/>
        </w:rPr>
      </w:pPr>
      <w:r w:rsidRPr="00F10A1F">
        <w:rPr>
          <w:rFonts w:eastAsia="Helvetica Neue"/>
          <w:i/>
          <w:color w:val="C00000"/>
          <w:sz w:val="28"/>
          <w:szCs w:val="28"/>
        </w:rPr>
        <w:t>with thanks to Helen Hershkoff, Demitri Papolos and Meredith Palmer</w:t>
      </w:r>
      <w:bookmarkStart w:id="0" w:name="_gjdgxs" w:colFirst="0" w:colLast="0"/>
      <w:bookmarkEnd w:id="0"/>
    </w:p>
    <w:p w:rsidR="00612FB2" w:rsidRPr="00774AB0" w:rsidRDefault="00634FFE">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rPr>
          <w:rFonts w:eastAsia="Helvetica Neue"/>
          <w:b/>
          <w:color w:val="000000" w:themeColor="text1"/>
          <w:sz w:val="28"/>
          <w:szCs w:val="28"/>
        </w:rPr>
      </w:pPr>
      <w:r w:rsidRPr="00774AB0">
        <w:rPr>
          <w:rFonts w:eastAsia="Helvetica Neue"/>
          <w:b/>
          <w:color w:val="000000" w:themeColor="text1"/>
          <w:sz w:val="28"/>
          <w:szCs w:val="28"/>
        </w:rPr>
        <w:t>Contents</w:t>
      </w:r>
    </w:p>
    <w:sdt>
      <w:sdtPr>
        <w:rPr>
          <w:color w:val="000000" w:themeColor="text1"/>
        </w:rPr>
        <w:id w:val="-738407585"/>
        <w:docPartObj>
          <w:docPartGallery w:val="Table of Contents"/>
          <w:docPartUnique/>
        </w:docPartObj>
      </w:sdtPr>
      <w:sdtEndPr>
        <w:rPr>
          <w:color w:val="C00000"/>
        </w:rPr>
      </w:sdtEndPr>
      <w:sdtContent>
        <w:p w:rsidR="005F44D0" w:rsidRPr="00774AB0" w:rsidRDefault="005F44D0">
          <w:pPr>
            <w:pStyle w:val="TOC2"/>
            <w:tabs>
              <w:tab w:val="right" w:pos="9350"/>
            </w:tabs>
            <w:rPr>
              <w:noProof/>
              <w:color w:val="000000" w:themeColor="text1"/>
            </w:rPr>
          </w:pPr>
          <w:r w:rsidRPr="00774AB0">
            <w:rPr>
              <w:color w:val="000000" w:themeColor="text1"/>
            </w:rPr>
            <w:fldChar w:fldCharType="begin"/>
          </w:r>
          <w:r w:rsidRPr="00774AB0">
            <w:rPr>
              <w:color w:val="000000" w:themeColor="text1"/>
            </w:rPr>
            <w:instrText xml:space="preserve"> TOC \o "1-3" \n \h \z \u </w:instrText>
          </w:r>
          <w:r w:rsidRPr="00774AB0">
            <w:rPr>
              <w:color w:val="000000" w:themeColor="text1"/>
            </w:rPr>
            <w:fldChar w:fldCharType="separate"/>
          </w:r>
          <w:hyperlink w:anchor="_Toc510458556" w:history="1">
            <w:r w:rsidRPr="00774AB0">
              <w:rPr>
                <w:rStyle w:val="Hyperlink"/>
                <w:rFonts w:eastAsia="Helvetica Neue"/>
                <w:noProof/>
                <w:color w:val="000000" w:themeColor="text1"/>
              </w:rPr>
              <w:t>Mental Health and Criminal Justice</w:t>
            </w:r>
          </w:hyperlink>
        </w:p>
        <w:p w:rsidR="005F44D0" w:rsidRPr="00774AB0" w:rsidRDefault="00DF6C36">
          <w:pPr>
            <w:pStyle w:val="TOC2"/>
            <w:tabs>
              <w:tab w:val="right" w:pos="9350"/>
            </w:tabs>
            <w:rPr>
              <w:noProof/>
              <w:color w:val="000000" w:themeColor="text1"/>
            </w:rPr>
          </w:pPr>
          <w:hyperlink w:anchor="_Toc510458557" w:history="1">
            <w:r w:rsidR="005F44D0" w:rsidRPr="00774AB0">
              <w:rPr>
                <w:rStyle w:val="Hyperlink"/>
                <w:rFonts w:eastAsia="Helvetica Neue"/>
                <w:noProof/>
                <w:color w:val="000000" w:themeColor="text1"/>
              </w:rPr>
              <w:t>Bail Funds and Community-Based Strategies</w:t>
            </w:r>
          </w:hyperlink>
        </w:p>
        <w:p w:rsidR="005F44D0" w:rsidRPr="00774AB0" w:rsidRDefault="00DF6C36">
          <w:pPr>
            <w:pStyle w:val="TOC2"/>
            <w:tabs>
              <w:tab w:val="right" w:pos="9350"/>
            </w:tabs>
            <w:rPr>
              <w:noProof/>
              <w:color w:val="000000" w:themeColor="text1"/>
            </w:rPr>
          </w:pPr>
          <w:hyperlink w:anchor="_Toc510458558" w:history="1">
            <w:r w:rsidR="005F44D0" w:rsidRPr="00774AB0">
              <w:rPr>
                <w:rStyle w:val="Hyperlink"/>
                <w:rFonts w:eastAsia="Helvetica Neue"/>
                <w:noProof/>
                <w:color w:val="000000" w:themeColor="text1"/>
              </w:rPr>
              <w:t>Juvenile Bipolar Disorder and the Fear of Harm Diagnosis</w:t>
            </w:r>
          </w:hyperlink>
        </w:p>
        <w:p w:rsidR="005F44D0" w:rsidRPr="00774AB0" w:rsidRDefault="00DF6C36">
          <w:pPr>
            <w:pStyle w:val="TOC2"/>
            <w:tabs>
              <w:tab w:val="right" w:pos="9350"/>
            </w:tabs>
            <w:rPr>
              <w:noProof/>
              <w:color w:val="000000" w:themeColor="text1"/>
            </w:rPr>
          </w:pPr>
          <w:hyperlink w:anchor="_Toc510458559" w:history="1">
            <w:r w:rsidR="005F44D0" w:rsidRPr="00774AB0">
              <w:rPr>
                <w:rStyle w:val="Hyperlink"/>
                <w:rFonts w:eastAsia="Helvetica Neue"/>
                <w:i/>
                <w:noProof/>
                <w:color w:val="000000" w:themeColor="text1"/>
              </w:rPr>
              <w:t>13th</w:t>
            </w:r>
            <w:r w:rsidR="005F44D0" w:rsidRPr="00774AB0">
              <w:rPr>
                <w:rStyle w:val="Hyperlink"/>
                <w:rFonts w:eastAsia="Helvetica Neue"/>
                <w:noProof/>
                <w:color w:val="000000" w:themeColor="text1"/>
              </w:rPr>
              <w:t>: The History of Mass Incarceration on film</w:t>
            </w:r>
          </w:hyperlink>
        </w:p>
        <w:p w:rsidR="005F44D0" w:rsidRPr="00774AB0" w:rsidRDefault="00DF6C36">
          <w:pPr>
            <w:pStyle w:val="TOC2"/>
            <w:tabs>
              <w:tab w:val="right" w:pos="9350"/>
            </w:tabs>
            <w:rPr>
              <w:noProof/>
              <w:color w:val="000000" w:themeColor="text1"/>
            </w:rPr>
          </w:pPr>
          <w:hyperlink w:anchor="_Toc510458560" w:history="1">
            <w:r w:rsidR="005F44D0" w:rsidRPr="00774AB0">
              <w:rPr>
                <w:rStyle w:val="Hyperlink"/>
                <w:rFonts w:eastAsia="Helvetica Neue"/>
                <w:noProof/>
                <w:color w:val="000000" w:themeColor="text1"/>
              </w:rPr>
              <w:t>Art for Justice Fund</w:t>
            </w:r>
          </w:hyperlink>
        </w:p>
        <w:p w:rsidR="00612FB2" w:rsidRPr="00E435B5" w:rsidRDefault="005F44D0" w:rsidP="005F44D0">
          <w:pPr>
            <w:tabs>
              <w:tab w:val="left" w:pos="480"/>
              <w:tab w:val="right" w:pos="9350"/>
            </w:tabs>
            <w:spacing w:after="100"/>
            <w:rPr>
              <w:color w:val="C00000"/>
            </w:rPr>
          </w:pPr>
          <w:r w:rsidRPr="00774AB0">
            <w:rPr>
              <w:color w:val="000000" w:themeColor="text1"/>
            </w:rPr>
            <w:fldChar w:fldCharType="end"/>
          </w:r>
        </w:p>
      </w:sdtContent>
    </w:sdt>
    <w:p w:rsidR="00612FB2" w:rsidRPr="00E435B5" w:rsidRDefault="00A34DA0" w:rsidP="005F44D0">
      <w:pPr>
        <w:pStyle w:val="Heading2"/>
        <w:rPr>
          <w:color w:val="C00000"/>
        </w:rPr>
      </w:pPr>
      <w:bookmarkStart w:id="1" w:name="_Toc510458556"/>
      <w:r>
        <w:rPr>
          <w:rFonts w:eastAsia="Helvetica Neue"/>
          <w:color w:val="C00000"/>
        </w:rPr>
        <w:t>Mental</w:t>
      </w:r>
      <w:r w:rsidR="00634FFE" w:rsidRPr="00E435B5">
        <w:rPr>
          <w:rFonts w:eastAsia="Helvetica Neue"/>
          <w:color w:val="C00000"/>
        </w:rPr>
        <w:t xml:space="preserve"> Health and Criminal Justice</w:t>
      </w:r>
      <w:bookmarkEnd w:id="1"/>
    </w:p>
    <w:p w:rsidR="00612FB2" w:rsidRPr="005F44D0" w:rsidRDefault="00612FB2">
      <w:pPr>
        <w:rPr>
          <w:rFonts w:eastAsia="Libre Baskerville"/>
          <w:b/>
          <w:sz w:val="22"/>
          <w:szCs w:val="22"/>
        </w:rPr>
      </w:pPr>
    </w:p>
    <w:p w:rsidR="00612FB2" w:rsidRPr="005F44D0" w:rsidRDefault="00612FB2">
      <w:pPr>
        <w:rPr>
          <w:rFonts w:eastAsia="Libre Baskerville"/>
          <w:b/>
          <w:sz w:val="28"/>
          <w:szCs w:val="28"/>
        </w:rPr>
      </w:pPr>
    </w:p>
    <w:p w:rsidR="00612FB2" w:rsidRPr="005F44D0" w:rsidRDefault="00634FFE">
      <w:pPr>
        <w:rPr>
          <w:rFonts w:eastAsia="Libre Baskerville"/>
          <w:sz w:val="22"/>
          <w:szCs w:val="22"/>
        </w:rPr>
      </w:pPr>
      <w:r w:rsidRPr="005F44D0">
        <w:rPr>
          <w:rFonts w:eastAsia="Libre Baskerville"/>
          <w:b/>
          <w:sz w:val="28"/>
          <w:szCs w:val="28"/>
        </w:rPr>
        <w:t xml:space="preserve">April 13, 2018 </w:t>
      </w:r>
      <w:r w:rsidRPr="005F44D0">
        <w:rPr>
          <w:rFonts w:eastAsia="Libre Baskerville"/>
          <w:sz w:val="22"/>
          <w:szCs w:val="22"/>
        </w:rPr>
        <w:t>NYU is hosting a conference on the subject of mental health and prisons that is open to the public and is free of charge:</w:t>
      </w:r>
      <w:bookmarkStart w:id="2" w:name="_GoBack"/>
      <w:bookmarkEnd w:id="2"/>
    </w:p>
    <w:p w:rsidR="00612FB2" w:rsidRPr="005F44D0" w:rsidRDefault="00612FB2">
      <w:pPr>
        <w:rPr>
          <w:rFonts w:eastAsia="Libre Baskerville"/>
          <w:b/>
          <w:sz w:val="22"/>
          <w:szCs w:val="22"/>
        </w:rPr>
      </w:pPr>
    </w:p>
    <w:p w:rsidR="00612FB2" w:rsidRPr="005F44D0" w:rsidRDefault="00634FFE">
      <w:pPr>
        <w:jc w:val="center"/>
        <w:rPr>
          <w:rFonts w:eastAsia="Libre Baskerville"/>
          <w:b/>
          <w:sz w:val="22"/>
          <w:szCs w:val="22"/>
        </w:rPr>
      </w:pPr>
      <w:r w:rsidRPr="005F44D0">
        <w:rPr>
          <w:rFonts w:eastAsia="Libre Baskerville"/>
          <w:b/>
          <w:sz w:val="22"/>
          <w:szCs w:val="22"/>
        </w:rPr>
        <w:t>Center on the Administration of Criminal Law</w:t>
      </w:r>
      <w:r w:rsidRPr="005F44D0">
        <w:rPr>
          <w:rFonts w:eastAsia="Helvetica Neue"/>
          <w:b/>
          <w:sz w:val="22"/>
          <w:szCs w:val="22"/>
        </w:rPr>
        <w:t>’</w:t>
      </w:r>
      <w:r w:rsidRPr="005F44D0">
        <w:rPr>
          <w:rFonts w:eastAsia="Libre Baskerville"/>
          <w:b/>
          <w:sz w:val="22"/>
          <w:szCs w:val="22"/>
        </w:rPr>
        <w:t>s Tenth Annual Conference in Partnership with Fair and Just Prosecution</w:t>
      </w:r>
    </w:p>
    <w:p w:rsidR="00612FB2" w:rsidRPr="005F44D0" w:rsidRDefault="00612FB2">
      <w:pPr>
        <w:rPr>
          <w:rFonts w:eastAsia="Libre Baskerville"/>
          <w:b/>
          <w:sz w:val="22"/>
          <w:szCs w:val="22"/>
        </w:rPr>
      </w:pPr>
    </w:p>
    <w:p w:rsidR="00612FB2" w:rsidRPr="005F44D0" w:rsidRDefault="00634FFE">
      <w:pPr>
        <w:rPr>
          <w:rFonts w:eastAsia="Libre Baskerville"/>
          <w:b/>
          <w:sz w:val="22"/>
          <w:szCs w:val="22"/>
        </w:rPr>
      </w:pPr>
      <w:r w:rsidRPr="005F44D0">
        <w:rPr>
          <w:rFonts w:eastAsia="Libre Baskerville"/>
          <w:sz w:val="22"/>
          <w:szCs w:val="22"/>
        </w:rPr>
        <w:t xml:space="preserve">On April 13, 2018, the Center on the Administration of Criminal Law, in partnership with Fair and Just Prosecution, presents its Tenth Annual Conference, </w:t>
      </w:r>
      <w:r w:rsidRPr="005F44D0">
        <w:rPr>
          <w:rFonts w:eastAsia="Helvetica Neue"/>
          <w:sz w:val="22"/>
          <w:szCs w:val="22"/>
        </w:rPr>
        <w:t>“</w:t>
      </w:r>
      <w:r w:rsidRPr="005F44D0">
        <w:rPr>
          <w:rFonts w:eastAsia="Libre Baskerville"/>
          <w:sz w:val="22"/>
          <w:szCs w:val="22"/>
        </w:rPr>
        <w:t>Disrupting the Cycle 2: Mental Health Reforms in the Criminal Justice System.</w:t>
      </w:r>
      <w:r w:rsidRPr="005F44D0">
        <w:rPr>
          <w:rFonts w:eastAsia="Helvetica Neue"/>
          <w:sz w:val="22"/>
          <w:szCs w:val="22"/>
        </w:rPr>
        <w:t xml:space="preserve">”  </w:t>
      </w:r>
      <w:r w:rsidRPr="005F44D0">
        <w:rPr>
          <w:rFonts w:eastAsia="Libre Baskerville"/>
          <w:sz w:val="22"/>
          <w:szCs w:val="22"/>
        </w:rPr>
        <w:t xml:space="preserve">The conference will be held in Greenberg Lounge in Vanderbilt Hall from 9:00 am to 12:30 pm.  </w:t>
      </w:r>
    </w:p>
    <w:p w:rsidR="00612FB2" w:rsidRPr="005F44D0" w:rsidRDefault="00612FB2">
      <w:pPr>
        <w:rPr>
          <w:rFonts w:eastAsia="Libre Baskerville"/>
          <w:b/>
          <w:sz w:val="22"/>
          <w:szCs w:val="22"/>
        </w:rPr>
      </w:pPr>
    </w:p>
    <w:p w:rsidR="00612FB2" w:rsidRPr="005F44D0" w:rsidRDefault="00634FFE">
      <w:pPr>
        <w:rPr>
          <w:rFonts w:eastAsia="Libre Baskerville"/>
          <w:b/>
          <w:sz w:val="22"/>
          <w:szCs w:val="22"/>
        </w:rPr>
      </w:pPr>
      <w:r w:rsidRPr="005F44D0">
        <w:rPr>
          <w:rFonts w:eastAsia="Libre Baskerville"/>
          <w:b/>
          <w:sz w:val="22"/>
          <w:szCs w:val="22"/>
        </w:rPr>
        <w:t>The conference will feature a diverse group of speakers, including prosecutors, practitioners, policymakers, and judges, and panels include the following:</w:t>
      </w:r>
    </w:p>
    <w:p w:rsidR="00612FB2" w:rsidRPr="005F44D0" w:rsidRDefault="00612FB2">
      <w:pPr>
        <w:rPr>
          <w:rFonts w:eastAsia="Libre Baskerville"/>
          <w:b/>
          <w:sz w:val="22"/>
          <w:szCs w:val="22"/>
        </w:rPr>
      </w:pPr>
    </w:p>
    <w:p w:rsidR="00612FB2" w:rsidRPr="005F44D0" w:rsidRDefault="00634FFE">
      <w:pPr>
        <w:jc w:val="center"/>
        <w:rPr>
          <w:rFonts w:eastAsia="Libre Baskerville"/>
          <w:b/>
          <w:sz w:val="22"/>
          <w:szCs w:val="22"/>
        </w:rPr>
      </w:pPr>
      <w:r w:rsidRPr="005F44D0">
        <w:rPr>
          <w:rFonts w:eastAsia="Helvetica Neue"/>
          <w:b/>
          <w:sz w:val="22"/>
          <w:szCs w:val="22"/>
        </w:rPr>
        <w:t xml:space="preserve">• </w:t>
      </w:r>
      <w:r w:rsidRPr="005F44D0">
        <w:rPr>
          <w:rFonts w:eastAsia="Libre Baskerville"/>
          <w:b/>
          <w:sz w:val="22"/>
          <w:szCs w:val="22"/>
        </w:rPr>
        <w:t xml:space="preserve">Avoiding the Criminalization of Mental Illness in the Criminal Justice System </w:t>
      </w:r>
      <w:r w:rsidRPr="005F44D0">
        <w:rPr>
          <w:rFonts w:eastAsia="Helvetica Neue"/>
          <w:b/>
          <w:sz w:val="22"/>
          <w:szCs w:val="22"/>
        </w:rPr>
        <w:t xml:space="preserve">– </w:t>
      </w:r>
      <w:r w:rsidRPr="005F44D0">
        <w:rPr>
          <w:rFonts w:eastAsia="Libre Baskerville"/>
          <w:b/>
          <w:sz w:val="22"/>
          <w:szCs w:val="22"/>
        </w:rPr>
        <w:t>An Opportune Moment for Change</w:t>
      </w:r>
    </w:p>
    <w:p w:rsidR="00612FB2" w:rsidRPr="005F44D0" w:rsidRDefault="00612FB2">
      <w:pPr>
        <w:jc w:val="center"/>
        <w:rPr>
          <w:rFonts w:eastAsia="Libre Baskerville"/>
          <w:b/>
          <w:sz w:val="22"/>
          <w:szCs w:val="22"/>
        </w:rPr>
      </w:pPr>
    </w:p>
    <w:p w:rsidR="00612FB2" w:rsidRPr="005F44D0" w:rsidRDefault="00634FFE">
      <w:pPr>
        <w:jc w:val="center"/>
        <w:rPr>
          <w:rFonts w:eastAsia="Libre Baskerville"/>
          <w:b/>
          <w:sz w:val="22"/>
          <w:szCs w:val="22"/>
        </w:rPr>
      </w:pPr>
      <w:r w:rsidRPr="005F44D0">
        <w:rPr>
          <w:rFonts w:eastAsia="Helvetica Neue"/>
          <w:b/>
          <w:sz w:val="22"/>
          <w:szCs w:val="22"/>
        </w:rPr>
        <w:t xml:space="preserve">• </w:t>
      </w:r>
      <w:r w:rsidRPr="005F44D0">
        <w:rPr>
          <w:rFonts w:eastAsia="Libre Baskerville"/>
          <w:b/>
          <w:sz w:val="22"/>
          <w:szCs w:val="22"/>
        </w:rPr>
        <w:t xml:space="preserve">Charting a Different Path </w:t>
      </w:r>
      <w:r w:rsidRPr="005F44D0">
        <w:rPr>
          <w:rFonts w:eastAsia="Helvetica Neue"/>
          <w:b/>
          <w:sz w:val="22"/>
          <w:szCs w:val="22"/>
        </w:rPr>
        <w:t xml:space="preserve">– </w:t>
      </w:r>
      <w:r w:rsidRPr="005F44D0">
        <w:rPr>
          <w:rFonts w:eastAsia="Libre Baskerville"/>
          <w:b/>
          <w:sz w:val="22"/>
          <w:szCs w:val="22"/>
        </w:rPr>
        <w:t>the Role of Prosecutors and Criminal Justice System Leaders in Reform</w:t>
      </w:r>
    </w:p>
    <w:p w:rsidR="00612FB2" w:rsidRPr="005F44D0" w:rsidRDefault="00612FB2">
      <w:pPr>
        <w:jc w:val="center"/>
        <w:rPr>
          <w:rFonts w:eastAsia="Libre Baskerville"/>
          <w:b/>
          <w:sz w:val="22"/>
          <w:szCs w:val="22"/>
        </w:rPr>
      </w:pPr>
    </w:p>
    <w:p w:rsidR="00612FB2" w:rsidRPr="005F44D0" w:rsidRDefault="00634FFE">
      <w:pPr>
        <w:jc w:val="center"/>
        <w:rPr>
          <w:rFonts w:eastAsia="Libre Baskerville"/>
          <w:b/>
          <w:sz w:val="22"/>
          <w:szCs w:val="22"/>
        </w:rPr>
      </w:pPr>
      <w:r w:rsidRPr="005F44D0">
        <w:rPr>
          <w:rFonts w:eastAsia="Helvetica Neue"/>
          <w:b/>
          <w:sz w:val="22"/>
          <w:szCs w:val="22"/>
        </w:rPr>
        <w:t xml:space="preserve">• </w:t>
      </w:r>
      <w:r w:rsidRPr="005F44D0">
        <w:rPr>
          <w:rFonts w:eastAsia="Libre Baskerville"/>
          <w:b/>
          <w:sz w:val="22"/>
          <w:szCs w:val="22"/>
        </w:rPr>
        <w:t>Moving the Needle: A Model of Change in Indianapolis</w:t>
      </w:r>
    </w:p>
    <w:p w:rsidR="00612FB2" w:rsidRPr="005F44D0" w:rsidRDefault="00612FB2">
      <w:pPr>
        <w:rPr>
          <w:rFonts w:eastAsia="Libre Baskerville"/>
          <w:b/>
          <w:sz w:val="22"/>
          <w:szCs w:val="22"/>
        </w:rPr>
      </w:pPr>
    </w:p>
    <w:p w:rsidR="00612FB2" w:rsidRPr="005F44D0" w:rsidRDefault="00612FB2">
      <w:pPr>
        <w:rPr>
          <w:rFonts w:eastAsia="Libre Baskerville"/>
          <w:b/>
          <w:sz w:val="22"/>
          <w:szCs w:val="22"/>
        </w:rPr>
      </w:pPr>
    </w:p>
    <w:p w:rsidR="00612FB2" w:rsidRPr="005F44D0" w:rsidRDefault="00634FFE">
      <w:pPr>
        <w:rPr>
          <w:rFonts w:eastAsia="Libre Baskerville"/>
          <w:b/>
          <w:sz w:val="22"/>
          <w:szCs w:val="22"/>
        </w:rPr>
      </w:pPr>
      <w:r w:rsidRPr="005F44D0">
        <w:rPr>
          <w:rFonts w:eastAsia="Libre Baskerville"/>
          <w:sz w:val="22"/>
          <w:szCs w:val="22"/>
        </w:rPr>
        <w:t>There are 3.5 CLE credits available in the Areas of Professional Practice.  CLE registration starts at 8:30 am.</w:t>
      </w:r>
      <w:r w:rsidRPr="005F44D0">
        <w:rPr>
          <w:rFonts w:eastAsia="Libre Baskerville"/>
          <w:b/>
          <w:sz w:val="22"/>
          <w:szCs w:val="22"/>
        </w:rPr>
        <w:t xml:space="preserve"> There is no fee but registration is required.</w:t>
      </w:r>
    </w:p>
    <w:p w:rsidR="00612FB2" w:rsidRPr="005F44D0" w:rsidRDefault="00612FB2">
      <w:pPr>
        <w:rPr>
          <w:rFonts w:eastAsia="Libre Baskerville"/>
          <w:b/>
          <w:sz w:val="22"/>
          <w:szCs w:val="22"/>
        </w:rPr>
      </w:pPr>
    </w:p>
    <w:p w:rsidR="00612FB2" w:rsidRPr="005F44D0" w:rsidRDefault="00634FFE">
      <w:pPr>
        <w:rPr>
          <w:rFonts w:eastAsia="Libre Baskerville"/>
          <w:b/>
          <w:sz w:val="22"/>
          <w:szCs w:val="22"/>
        </w:rPr>
      </w:pPr>
      <w:r w:rsidRPr="005F44D0">
        <w:rPr>
          <w:rFonts w:eastAsia="Libre Baskerville"/>
          <w:b/>
          <w:sz w:val="22"/>
          <w:szCs w:val="22"/>
        </w:rPr>
        <w:t xml:space="preserve">RSVP to the event </w:t>
      </w:r>
      <w:hyperlink r:id="rId9">
        <w:r w:rsidRPr="005F44D0">
          <w:rPr>
            <w:rFonts w:eastAsia="Libre Baskerville"/>
            <w:b/>
            <w:color w:val="1155CC"/>
            <w:sz w:val="22"/>
            <w:szCs w:val="22"/>
            <w:u w:val="single"/>
          </w:rPr>
          <w:t>here</w:t>
        </w:r>
      </w:hyperlink>
      <w:r w:rsidR="005F44D0">
        <w:rPr>
          <w:rFonts w:eastAsia="Libre Baskerville"/>
          <w:b/>
          <w:sz w:val="22"/>
          <w:szCs w:val="22"/>
        </w:rPr>
        <w:t>.</w:t>
      </w:r>
    </w:p>
    <w:p w:rsidR="00612FB2" w:rsidRPr="005F44D0" w:rsidRDefault="00612FB2">
      <w:pPr>
        <w:rPr>
          <w:rFonts w:eastAsia="Libre Baskerville"/>
          <w:b/>
          <w:sz w:val="22"/>
          <w:szCs w:val="22"/>
        </w:rPr>
      </w:pPr>
    </w:p>
    <w:p w:rsidR="00612FB2" w:rsidRPr="005F44D0" w:rsidRDefault="00612FB2">
      <w:pPr>
        <w:rPr>
          <w:rFonts w:eastAsia="Libre Baskerville"/>
          <w:b/>
          <w:sz w:val="22"/>
          <w:szCs w:val="22"/>
        </w:rPr>
      </w:pPr>
    </w:p>
    <w:p w:rsidR="00612FB2" w:rsidRPr="00E435B5" w:rsidRDefault="00634FFE" w:rsidP="005F44D0">
      <w:pPr>
        <w:pStyle w:val="Heading2"/>
        <w:rPr>
          <w:color w:val="C00000"/>
        </w:rPr>
      </w:pPr>
      <w:bookmarkStart w:id="3" w:name="_Toc510458557"/>
      <w:r w:rsidRPr="00E435B5">
        <w:rPr>
          <w:rFonts w:eastAsia="Helvetica Neue"/>
          <w:color w:val="C00000"/>
        </w:rPr>
        <w:t>Bail Funds and Community-Based Strategies</w:t>
      </w:r>
      <w:bookmarkEnd w:id="3"/>
    </w:p>
    <w:p w:rsidR="00612FB2" w:rsidRPr="005F44D0" w:rsidRDefault="00612FB2">
      <w:pPr>
        <w:rPr>
          <w:rFonts w:eastAsia="Helvetica Neue"/>
          <w:sz w:val="22"/>
          <w:szCs w:val="22"/>
        </w:rPr>
      </w:pPr>
    </w:p>
    <w:p w:rsidR="00612FB2" w:rsidRPr="00DA4F9C" w:rsidRDefault="00DF6C36">
      <w:pPr>
        <w:rPr>
          <w:rFonts w:eastAsia="Helvetica Neue"/>
          <w:sz w:val="28"/>
          <w:szCs w:val="28"/>
        </w:rPr>
      </w:pPr>
      <w:hyperlink r:id="rId10">
        <w:r w:rsidR="00634FFE" w:rsidRPr="005F44D0">
          <w:rPr>
            <w:rFonts w:eastAsia="Helvetica Neue"/>
            <w:sz w:val="28"/>
            <w:szCs w:val="28"/>
            <w:u w:val="single"/>
          </w:rPr>
          <w:t>Webinar</w:t>
        </w:r>
      </w:hyperlink>
      <w:r w:rsidR="00634FFE" w:rsidRPr="005F44D0">
        <w:rPr>
          <w:rFonts w:eastAsia="Helvetica Neue"/>
          <w:sz w:val="28"/>
          <w:szCs w:val="28"/>
        </w:rPr>
        <w:t xml:space="preserve"> by the National Lawyer's Guild about bail reform available on Vimeo:</w:t>
      </w:r>
    </w:p>
    <w:p w:rsidR="00612FB2" w:rsidRPr="005F44D0" w:rsidRDefault="00612FB2">
      <w:pPr>
        <w:rPr>
          <w:rFonts w:eastAsia="Helvetica Neue"/>
          <w:sz w:val="22"/>
          <w:szCs w:val="22"/>
        </w:rPr>
      </w:pPr>
    </w:p>
    <w:p w:rsidR="00612FB2" w:rsidRPr="005F44D0" w:rsidRDefault="00634FFE">
      <w:pPr>
        <w:rPr>
          <w:rFonts w:eastAsia="Libre Baskerville"/>
          <w:sz w:val="22"/>
          <w:szCs w:val="22"/>
        </w:rPr>
      </w:pPr>
      <w:r w:rsidRPr="005F44D0">
        <w:rPr>
          <w:rFonts w:eastAsia="Libre Baskerville"/>
          <w:b/>
          <w:sz w:val="22"/>
          <w:szCs w:val="22"/>
        </w:rPr>
        <w:t>Helen Hershkoff</w:t>
      </w:r>
      <w:r w:rsidRPr="005F44D0">
        <w:rPr>
          <w:rFonts w:eastAsia="Libre Baskerville"/>
          <w:sz w:val="22"/>
          <w:szCs w:val="22"/>
        </w:rPr>
        <w:t xml:space="preserve"> teaches at NYU Law School and shared information about a webinar on Bail Reform by the National Lawyer's Guild, which looks into the </w:t>
      </w:r>
      <w:r w:rsidRPr="005F44D0">
        <w:rPr>
          <w:rFonts w:eastAsia="Libre Baskerville"/>
          <w:b/>
          <w:sz w:val="22"/>
          <w:szCs w:val="22"/>
        </w:rPr>
        <w:t>experience of lawyers and activists who have established bail and bond funds intended to help end mass incarceration</w:t>
      </w:r>
      <w:r w:rsidRPr="005F44D0">
        <w:rPr>
          <w:rFonts w:eastAsia="Libre Baskerville"/>
          <w:sz w:val="22"/>
          <w:szCs w:val="22"/>
        </w:rPr>
        <w:t xml:space="preserve">. </w:t>
      </w:r>
    </w:p>
    <w:p w:rsidR="00612FB2" w:rsidRPr="005F44D0" w:rsidRDefault="00612FB2">
      <w:pPr>
        <w:rPr>
          <w:rFonts w:eastAsia="Libre Baskerville"/>
          <w:sz w:val="22"/>
          <w:szCs w:val="22"/>
        </w:rPr>
      </w:pPr>
    </w:p>
    <w:p w:rsidR="00612FB2" w:rsidRPr="005F44D0" w:rsidRDefault="00634FFE">
      <w:pPr>
        <w:rPr>
          <w:rFonts w:eastAsia="Libre Baskerville"/>
          <w:sz w:val="22"/>
          <w:szCs w:val="22"/>
        </w:rPr>
      </w:pPr>
      <w:r w:rsidRPr="005F44D0">
        <w:rPr>
          <w:rFonts w:eastAsia="Libre Baskerville"/>
          <w:b/>
          <w:sz w:val="22"/>
          <w:szCs w:val="22"/>
        </w:rPr>
        <w:t>Bail Funds and Community-Based Strategies</w:t>
      </w:r>
      <w:r w:rsidRPr="005F44D0">
        <w:rPr>
          <w:rFonts w:eastAsia="Libre Baskerville"/>
          <w:sz w:val="22"/>
          <w:szCs w:val="22"/>
        </w:rPr>
        <w:t>: Bail and bond funds can be an important tool towards dismantling the prison industrial complex and ending mass incarceration. However, as many new funds emerge in response to the rampant policing of protests and uprisings, this is an important moment to share lessons learned on the ground. Lawyers and legal workers sometimes create the funds without establishing a direct, accountable, intentional connection to the communities in which they exist causing a disconnect in strategy and desired outcome.</w:t>
      </w:r>
    </w:p>
    <w:p w:rsidR="00612FB2" w:rsidRPr="005F44D0" w:rsidRDefault="00612FB2">
      <w:pPr>
        <w:rPr>
          <w:rFonts w:eastAsia="Libre Baskerville"/>
          <w:sz w:val="22"/>
          <w:szCs w:val="22"/>
        </w:rPr>
      </w:pPr>
    </w:p>
    <w:p w:rsidR="00612FB2" w:rsidRPr="005F44D0" w:rsidRDefault="00634FFE">
      <w:pPr>
        <w:rPr>
          <w:rFonts w:eastAsia="Libre Baskerville"/>
          <w:sz w:val="22"/>
          <w:szCs w:val="22"/>
        </w:rPr>
      </w:pPr>
      <w:r w:rsidRPr="005F44D0">
        <w:rPr>
          <w:rFonts w:eastAsia="Libre Baskerville"/>
          <w:sz w:val="22"/>
          <w:szCs w:val="22"/>
        </w:rPr>
        <w:t>This webinar features volunteers from bail fund groups in Baton Rouge, Standing Rock (the Freshet Collective) and the Chicago Community Bail Fund to explore some of these tensions while uplifting some concrete victories. Law for Black Lives, the National Lawyers Guild and the National Bail Fund Network will offer a framework in which bail and bond funds are connected to community-based organizations with a focus on racial justice and eventual prison abolition. Southerners on New Ground will discuss their recent National Mama's Day Bailout Action and how we can move forward together.</w:t>
      </w:r>
    </w:p>
    <w:p w:rsidR="00612FB2" w:rsidRPr="005F44D0" w:rsidRDefault="00612FB2">
      <w:pPr>
        <w:rPr>
          <w:rFonts w:eastAsia="Libre Baskerville"/>
          <w:sz w:val="22"/>
          <w:szCs w:val="22"/>
        </w:rPr>
      </w:pPr>
    </w:p>
    <w:p w:rsidR="00612FB2" w:rsidRPr="005F44D0" w:rsidRDefault="00634FFE">
      <w:pPr>
        <w:rPr>
          <w:rFonts w:eastAsia="Libre Baskerville"/>
          <w:sz w:val="22"/>
          <w:szCs w:val="22"/>
        </w:rPr>
      </w:pPr>
      <w:r w:rsidRPr="005F44D0">
        <w:rPr>
          <w:rFonts w:eastAsia="Libre Baskerville"/>
          <w:sz w:val="22"/>
          <w:szCs w:val="22"/>
        </w:rPr>
        <w:t xml:space="preserve">Further resources on community-based bond/bail/legal defense funds compiled by the panelists are available at </w:t>
      </w:r>
      <w:hyperlink r:id="rId11">
        <w:r w:rsidRPr="005F44D0">
          <w:rPr>
            <w:rFonts w:eastAsia="Libre Baskerville"/>
            <w:sz w:val="22"/>
            <w:szCs w:val="22"/>
            <w:u w:val="single"/>
          </w:rPr>
          <w:t>bit.ly/bailfundresources</w:t>
        </w:r>
      </w:hyperlink>
    </w:p>
    <w:p w:rsidR="00612FB2" w:rsidRPr="005F44D0" w:rsidRDefault="00612FB2">
      <w:pPr>
        <w:rPr>
          <w:rFonts w:eastAsia="Helvetica Neue"/>
          <w:sz w:val="22"/>
          <w:szCs w:val="22"/>
        </w:rPr>
      </w:pPr>
    </w:p>
    <w:p w:rsidR="00612FB2" w:rsidRPr="005F44D0" w:rsidRDefault="00612FB2">
      <w:pPr>
        <w:rPr>
          <w:rFonts w:eastAsia="Helvetica Neue"/>
          <w:sz w:val="22"/>
          <w:szCs w:val="22"/>
        </w:rPr>
      </w:pPr>
    </w:p>
    <w:p w:rsidR="00612FB2" w:rsidRPr="00D50814" w:rsidRDefault="00D50814">
      <w:pPr>
        <w:rPr>
          <w:rFonts w:eastAsia="Helvetica Neue"/>
          <w:b/>
          <w:sz w:val="22"/>
          <w:szCs w:val="22"/>
        </w:rPr>
      </w:pPr>
      <w:r>
        <w:rPr>
          <w:rFonts w:eastAsia="Helvetica Neue"/>
          <w:sz w:val="28"/>
          <w:szCs w:val="28"/>
        </w:rPr>
        <w:t>In</w:t>
      </w:r>
      <w:r w:rsidR="00634FFE" w:rsidRPr="00D50814">
        <w:rPr>
          <w:rFonts w:eastAsia="Helvetica Neue"/>
          <w:sz w:val="28"/>
          <w:szCs w:val="28"/>
        </w:rPr>
        <w:t xml:space="preserve">formation from NYU Center on Race, Inequality, and the Law about </w:t>
      </w:r>
      <w:r w:rsidR="00634FFE" w:rsidRPr="00D50814">
        <w:rPr>
          <w:rFonts w:eastAsia="Helvetica Neue"/>
          <w:b/>
          <w:sz w:val="28"/>
          <w:szCs w:val="28"/>
        </w:rPr>
        <w:t>groups working on bail reform:</w:t>
      </w:r>
    </w:p>
    <w:p w:rsidR="00612FB2" w:rsidRPr="005F44D0" w:rsidRDefault="00612FB2">
      <w:pPr>
        <w:rPr>
          <w:rFonts w:eastAsia="Helvetica Neue"/>
          <w:sz w:val="22"/>
          <w:szCs w:val="22"/>
        </w:rPr>
      </w:pPr>
    </w:p>
    <w:p w:rsidR="00612FB2" w:rsidRPr="005F44D0" w:rsidRDefault="00634FFE">
      <w:pPr>
        <w:rPr>
          <w:rFonts w:eastAsia="Helvetica Neue"/>
          <w:sz w:val="22"/>
          <w:szCs w:val="22"/>
        </w:rPr>
      </w:pPr>
      <w:r w:rsidRPr="005F44D0">
        <w:rPr>
          <w:rFonts w:eastAsia="Helvetica Neue"/>
          <w:sz w:val="22"/>
          <w:szCs w:val="22"/>
        </w:rPr>
        <w:lastRenderedPageBreak/>
        <w:t>The Katal Center has been at the front of the charge in this space, hosting monthly calls and pulling together materials to keep folks informed about the advocacy. The Statement by Criminal Justice Reform Groups lists a number of orgs in this fight, but Helen suggests they start with Katal.</w:t>
      </w:r>
    </w:p>
    <w:p w:rsidR="00612FB2" w:rsidRPr="00E435B5" w:rsidRDefault="00634FFE" w:rsidP="005F44D0">
      <w:pPr>
        <w:pStyle w:val="Heading2"/>
        <w:rPr>
          <w:color w:val="C00000"/>
        </w:rPr>
      </w:pPr>
      <w:bookmarkStart w:id="4" w:name="_Toc510458558"/>
      <w:r w:rsidRPr="00E435B5">
        <w:rPr>
          <w:rFonts w:eastAsia="Helvetica Neue"/>
          <w:color w:val="C00000"/>
        </w:rPr>
        <w:t>Juvenile Bipolar Disorder and the Fear of Harm Diagnosis</w:t>
      </w:r>
      <w:bookmarkEnd w:id="4"/>
    </w:p>
    <w:p w:rsidR="00612FB2" w:rsidRPr="005F44D0" w:rsidRDefault="00612FB2">
      <w:pPr>
        <w:rPr>
          <w:rFonts w:eastAsia="Helvetica Neue"/>
          <w:sz w:val="22"/>
          <w:szCs w:val="22"/>
        </w:rPr>
      </w:pPr>
    </w:p>
    <w:p w:rsidR="00612FB2" w:rsidRPr="005F44D0" w:rsidRDefault="00634FFE">
      <w:pPr>
        <w:rPr>
          <w:rFonts w:eastAsia="Cambria"/>
        </w:rPr>
      </w:pPr>
      <w:r w:rsidRPr="005F44D0">
        <w:rPr>
          <w:rFonts w:eastAsia="Cambria"/>
        </w:rPr>
        <w:t xml:space="preserve">A moving account of a mother’s experience with her son, “I am Adam Lanza’s Mother,” is recounted </w:t>
      </w:r>
      <w:hyperlink r:id="rId12">
        <w:r w:rsidRPr="005F44D0">
          <w:rPr>
            <w:rFonts w:eastAsia="Cambria"/>
            <w:u w:val="single"/>
          </w:rPr>
          <w:t>here</w:t>
        </w:r>
      </w:hyperlink>
      <w:r w:rsidRPr="005F44D0">
        <w:rPr>
          <w:rFonts w:eastAsia="Cambria"/>
        </w:rPr>
        <w:t xml:space="preserve"> from an NPR report, which describes classmate </w:t>
      </w:r>
      <w:r w:rsidRPr="005F44D0">
        <w:rPr>
          <w:rFonts w:eastAsia="Cambria"/>
          <w:b/>
        </w:rPr>
        <w:t>Demitri Papolos</w:t>
      </w:r>
      <w:r w:rsidRPr="005F44D0">
        <w:rPr>
          <w:rFonts w:eastAsia="Cambria"/>
        </w:rPr>
        <w:t xml:space="preserve">’s research and the relief he was able to bring to her troubled son. Liza Long, who wrote the blog post described in the NPR piece, has also written a book entitled </w:t>
      </w:r>
      <w:r w:rsidRPr="005F44D0">
        <w:rPr>
          <w:rFonts w:eastAsia="Cambria"/>
          <w:i/>
        </w:rPr>
        <w:t>The Price of Silence: A Mom’s Perspective on Mental Illness</w:t>
      </w:r>
      <w:r w:rsidR="00D75069">
        <w:rPr>
          <w:rFonts w:eastAsia="Cambria"/>
        </w:rPr>
        <w:t>,</w:t>
      </w:r>
      <w:r w:rsidRPr="005F44D0">
        <w:rPr>
          <w:rFonts w:eastAsia="Cambria"/>
        </w:rPr>
        <w:t xml:space="preserve"> also available in audio format.</w:t>
      </w:r>
    </w:p>
    <w:p w:rsidR="00612FB2" w:rsidRPr="005F44D0" w:rsidRDefault="00612FB2">
      <w:pPr>
        <w:rPr>
          <w:rFonts w:eastAsia="Helvetica Neue"/>
          <w:sz w:val="22"/>
          <w:szCs w:val="22"/>
        </w:rPr>
      </w:pPr>
    </w:p>
    <w:p w:rsidR="00612FB2" w:rsidRPr="005F44D0" w:rsidRDefault="00612FB2">
      <w:pPr>
        <w:rPr>
          <w:rFonts w:eastAsia="Helvetica Neue"/>
          <w:sz w:val="22"/>
          <w:szCs w:val="22"/>
        </w:rPr>
      </w:pPr>
    </w:p>
    <w:p w:rsidR="00612FB2" w:rsidRPr="00E435B5" w:rsidRDefault="00634FFE" w:rsidP="005F44D0">
      <w:pPr>
        <w:pStyle w:val="Heading2"/>
        <w:rPr>
          <w:color w:val="C00000"/>
        </w:rPr>
      </w:pPr>
      <w:bookmarkStart w:id="5" w:name="_Toc510458559"/>
      <w:r w:rsidRPr="00E435B5">
        <w:rPr>
          <w:rFonts w:eastAsia="Helvetica Neue"/>
          <w:i/>
          <w:color w:val="C00000"/>
        </w:rPr>
        <w:t>13th</w:t>
      </w:r>
      <w:r w:rsidRPr="00E435B5">
        <w:rPr>
          <w:rFonts w:eastAsia="Helvetica Neue"/>
          <w:color w:val="C00000"/>
        </w:rPr>
        <w:t>: The History of Mass Incarceration on film</w:t>
      </w:r>
      <w:bookmarkEnd w:id="5"/>
    </w:p>
    <w:p w:rsidR="00612FB2" w:rsidRPr="005F44D0" w:rsidRDefault="00612FB2">
      <w:pPr>
        <w:rPr>
          <w:rFonts w:eastAsia="Helvetica Neue"/>
          <w:sz w:val="22"/>
          <w:szCs w:val="22"/>
        </w:rPr>
      </w:pPr>
    </w:p>
    <w:p w:rsidR="00612FB2" w:rsidRPr="005F44D0" w:rsidRDefault="00634FFE">
      <w:pPr>
        <w:rPr>
          <w:rFonts w:eastAsia="Helvetica Neue"/>
          <w:sz w:val="22"/>
          <w:szCs w:val="22"/>
        </w:rPr>
      </w:pPr>
      <w:r w:rsidRPr="005F44D0">
        <w:rPr>
          <w:rFonts w:eastAsia="Helvetica Neue"/>
          <w:b/>
          <w:sz w:val="22"/>
          <w:szCs w:val="22"/>
        </w:rPr>
        <w:t>Meredith Palmer</w:t>
      </w:r>
      <w:r w:rsidRPr="005F44D0">
        <w:rPr>
          <w:rFonts w:eastAsia="Helvetica Neue"/>
          <w:sz w:val="22"/>
          <w:szCs w:val="22"/>
        </w:rPr>
        <w:t xml:space="preserve"> writes, </w:t>
      </w:r>
      <w:r w:rsidRPr="005F44D0">
        <w:rPr>
          <w:rFonts w:eastAsia="Arimo"/>
          <w:sz w:val="22"/>
          <w:szCs w:val="22"/>
        </w:rPr>
        <w:t>“</w:t>
      </w:r>
      <w:r w:rsidRPr="005F44D0">
        <w:rPr>
          <w:rFonts w:eastAsia="Helvetica Neue"/>
          <w:sz w:val="22"/>
          <w:szCs w:val="22"/>
        </w:rPr>
        <w:t>For those who have not seen it, I highly recommend the 13th film on Netflix.</w:t>
      </w:r>
      <w:r w:rsidRPr="005F44D0">
        <w:rPr>
          <w:rFonts w:eastAsia="Arimo"/>
          <w:sz w:val="22"/>
          <w:szCs w:val="22"/>
        </w:rPr>
        <w:t xml:space="preserve">” </w:t>
      </w:r>
      <w:r w:rsidRPr="005F44D0">
        <w:rPr>
          <w:rFonts w:eastAsia="Helvetica Neue"/>
          <w:sz w:val="22"/>
          <w:szCs w:val="22"/>
        </w:rPr>
        <w:t xml:space="preserve">13th is a 2016 American documentary by director Ava DuVernay which explores the intersection of race, justice, and mass incarceration in the United States; it is named for the Thirteenth Amendment to the United States Constitution, which freed the slaves and prohibited slavery (unless as punishment for a crime). </w:t>
      </w:r>
      <w:r w:rsidRPr="005F44D0">
        <w:rPr>
          <w:rFonts w:eastAsia="Arimo"/>
          <w:sz w:val="22"/>
          <w:szCs w:val="22"/>
        </w:rPr>
        <w:t>“</w:t>
      </w:r>
      <w:r w:rsidRPr="005F44D0">
        <w:rPr>
          <w:rFonts w:eastAsia="Helvetica Neue"/>
          <w:sz w:val="22"/>
          <w:szCs w:val="22"/>
        </w:rPr>
        <w:t>Duvernay connects the dots in a way that seems so obvious about mass incarceration</w:t>
      </w:r>
      <w:r w:rsidRPr="005F44D0">
        <w:rPr>
          <w:rFonts w:eastAsia="Arimo"/>
          <w:sz w:val="22"/>
          <w:szCs w:val="22"/>
        </w:rPr>
        <w:t>’</w:t>
      </w:r>
      <w:r w:rsidRPr="005F44D0">
        <w:rPr>
          <w:rFonts w:eastAsia="Helvetica Neue"/>
          <w:sz w:val="22"/>
          <w:szCs w:val="22"/>
        </w:rPr>
        <w:t>s history that you will not understand how you missed these developments before,</w:t>
      </w:r>
      <w:r w:rsidRPr="005F44D0">
        <w:rPr>
          <w:rFonts w:eastAsia="Arimo"/>
          <w:sz w:val="22"/>
          <w:szCs w:val="22"/>
        </w:rPr>
        <w:t xml:space="preserve">” </w:t>
      </w:r>
      <w:r w:rsidRPr="005F44D0">
        <w:rPr>
          <w:rFonts w:eastAsia="Helvetica Neue"/>
          <w:sz w:val="22"/>
          <w:szCs w:val="22"/>
        </w:rPr>
        <w:t>said Meredith.</w:t>
      </w:r>
    </w:p>
    <w:p w:rsidR="00612FB2" w:rsidRPr="005F44D0" w:rsidRDefault="00612FB2">
      <w:pPr>
        <w:rPr>
          <w:rFonts w:eastAsia="Helvetica Neue"/>
          <w:sz w:val="22"/>
          <w:szCs w:val="22"/>
        </w:rPr>
      </w:pPr>
    </w:p>
    <w:p w:rsidR="00612FB2" w:rsidRPr="00E435B5" w:rsidRDefault="00634FFE" w:rsidP="005F44D0">
      <w:pPr>
        <w:pStyle w:val="Heading2"/>
        <w:rPr>
          <w:color w:val="C00000"/>
        </w:rPr>
      </w:pPr>
      <w:bookmarkStart w:id="6" w:name="_Toc510458560"/>
      <w:r w:rsidRPr="00E435B5">
        <w:rPr>
          <w:rFonts w:eastAsia="Helvetica Neue"/>
          <w:color w:val="C00000"/>
        </w:rPr>
        <w:t>Art for Justice Fund</w:t>
      </w:r>
      <w:bookmarkEnd w:id="6"/>
    </w:p>
    <w:p w:rsidR="00612FB2" w:rsidRPr="005F44D0" w:rsidRDefault="00612FB2">
      <w:pPr>
        <w:rPr>
          <w:rFonts w:eastAsia="Helvetica Neue"/>
          <w:sz w:val="22"/>
          <w:szCs w:val="22"/>
        </w:rPr>
      </w:pPr>
    </w:p>
    <w:p w:rsidR="00612FB2" w:rsidRPr="005F44D0" w:rsidRDefault="00634FFE">
      <w:pPr>
        <w:rPr>
          <w:rFonts w:eastAsia="Helvetica Neue"/>
          <w:sz w:val="22"/>
          <w:szCs w:val="22"/>
        </w:rPr>
      </w:pPr>
      <w:r w:rsidRPr="005F44D0">
        <w:rPr>
          <w:rFonts w:eastAsia="Helvetica Neue"/>
          <w:b/>
          <w:sz w:val="22"/>
          <w:szCs w:val="22"/>
        </w:rPr>
        <w:t>Meredith Palmer</w:t>
      </w:r>
      <w:r w:rsidRPr="005F44D0">
        <w:rPr>
          <w:rFonts w:eastAsia="Helvetica Neue"/>
          <w:sz w:val="22"/>
          <w:szCs w:val="22"/>
        </w:rPr>
        <w:t xml:space="preserve"> suggests that </w:t>
      </w:r>
      <w:r w:rsidRPr="005F44D0">
        <w:rPr>
          <w:rFonts w:eastAsia="Arimo"/>
          <w:sz w:val="22"/>
          <w:szCs w:val="22"/>
        </w:rPr>
        <w:t>“</w:t>
      </w:r>
      <w:r w:rsidRPr="005F44D0">
        <w:rPr>
          <w:rFonts w:eastAsia="Helvetica Neue"/>
          <w:sz w:val="22"/>
          <w:szCs w:val="22"/>
        </w:rPr>
        <w:t>If you go on the website for Agnes Gund</w:t>
      </w:r>
      <w:r w:rsidRPr="005F44D0">
        <w:rPr>
          <w:rFonts w:eastAsia="Arimo"/>
          <w:sz w:val="22"/>
          <w:szCs w:val="22"/>
        </w:rPr>
        <w:t>’</w:t>
      </w:r>
      <w:r w:rsidRPr="005F44D0">
        <w:rPr>
          <w:rFonts w:eastAsia="Helvetica Neue"/>
          <w:sz w:val="22"/>
          <w:szCs w:val="22"/>
        </w:rPr>
        <w:t xml:space="preserve">s </w:t>
      </w:r>
      <w:hyperlink r:id="rId13">
        <w:r w:rsidRPr="005F44D0">
          <w:rPr>
            <w:rFonts w:eastAsia="Helvetica Neue"/>
            <w:sz w:val="22"/>
            <w:szCs w:val="22"/>
            <w:u w:val="single"/>
          </w:rPr>
          <w:t>Art for Justice Fund</w:t>
        </w:r>
      </w:hyperlink>
      <w:r w:rsidRPr="005F44D0">
        <w:rPr>
          <w:rFonts w:eastAsia="Helvetica Neue"/>
          <w:sz w:val="22"/>
          <w:szCs w:val="22"/>
        </w:rPr>
        <w:t>, you can see the initial 30 grantee organizations announced in November (more coming in May) in categories that I mentioned:</w:t>
      </w:r>
    </w:p>
    <w:p w:rsidR="00612FB2" w:rsidRPr="005F44D0" w:rsidRDefault="00612FB2">
      <w:pPr>
        <w:rPr>
          <w:rFonts w:eastAsia="Helvetica Neue"/>
          <w:sz w:val="22"/>
          <w:szCs w:val="22"/>
        </w:rPr>
      </w:pPr>
    </w:p>
    <w:p w:rsidR="00612FB2" w:rsidRPr="005F44D0" w:rsidRDefault="00634FFE">
      <w:pPr>
        <w:rPr>
          <w:rFonts w:eastAsia="Helvetica Neue"/>
          <w:sz w:val="22"/>
          <w:szCs w:val="22"/>
        </w:rPr>
      </w:pPr>
      <w:r w:rsidRPr="005F44D0">
        <w:rPr>
          <w:rFonts w:eastAsia="Helvetica Neue"/>
          <w:sz w:val="22"/>
          <w:szCs w:val="22"/>
        </w:rPr>
        <w:t>1.  Bail Reform</w:t>
      </w:r>
    </w:p>
    <w:p w:rsidR="00612FB2" w:rsidRPr="005F44D0" w:rsidRDefault="00634FFE">
      <w:pPr>
        <w:rPr>
          <w:rFonts w:eastAsia="Helvetica Neue"/>
          <w:sz w:val="22"/>
          <w:szCs w:val="22"/>
        </w:rPr>
      </w:pPr>
      <w:r w:rsidRPr="005F44D0">
        <w:rPr>
          <w:rFonts w:eastAsia="Helvetica Neue"/>
          <w:sz w:val="22"/>
          <w:szCs w:val="22"/>
        </w:rPr>
        <w:t>2.  Sentencing Reform</w:t>
      </w:r>
    </w:p>
    <w:p w:rsidR="00612FB2" w:rsidRPr="005F44D0" w:rsidRDefault="00634FFE">
      <w:pPr>
        <w:rPr>
          <w:rFonts w:eastAsia="Helvetica Neue"/>
          <w:sz w:val="22"/>
          <w:szCs w:val="22"/>
        </w:rPr>
      </w:pPr>
      <w:r w:rsidRPr="005F44D0">
        <w:rPr>
          <w:rFonts w:eastAsia="Helvetica Neue"/>
          <w:sz w:val="22"/>
          <w:szCs w:val="22"/>
        </w:rPr>
        <w:t>3.  Re-entry Barriers</w:t>
      </w:r>
    </w:p>
    <w:p w:rsidR="00612FB2" w:rsidRPr="005F44D0" w:rsidRDefault="00634FFE">
      <w:pPr>
        <w:rPr>
          <w:rFonts w:eastAsia="Helvetica Neue"/>
          <w:sz w:val="22"/>
          <w:szCs w:val="22"/>
        </w:rPr>
      </w:pPr>
      <w:r w:rsidRPr="005F44D0">
        <w:rPr>
          <w:rFonts w:eastAsia="Helvetica Neue"/>
          <w:sz w:val="22"/>
          <w:szCs w:val="22"/>
        </w:rPr>
        <w:t>4.  Bear Witness</w:t>
      </w:r>
    </w:p>
    <w:p w:rsidR="00612FB2" w:rsidRPr="005F44D0" w:rsidRDefault="00634FFE">
      <w:pPr>
        <w:rPr>
          <w:rFonts w:eastAsia="Helvetica Neue"/>
          <w:sz w:val="22"/>
          <w:szCs w:val="22"/>
        </w:rPr>
      </w:pPr>
      <w:r w:rsidRPr="005F44D0">
        <w:rPr>
          <w:rFonts w:eastAsia="Helvetica Neue"/>
          <w:sz w:val="22"/>
          <w:szCs w:val="22"/>
        </w:rPr>
        <w:t>5.  Arts Programs</w:t>
      </w:r>
      <w:r w:rsidRPr="005F44D0">
        <w:rPr>
          <w:rFonts w:eastAsia="Arimo"/>
          <w:sz w:val="22"/>
          <w:szCs w:val="22"/>
        </w:rPr>
        <w:t>”</w:t>
      </w:r>
    </w:p>
    <w:p w:rsidR="00612FB2" w:rsidRPr="005F44D0" w:rsidRDefault="00612FB2">
      <w:pPr>
        <w:rPr>
          <w:rFonts w:eastAsia="Helvetica Neue"/>
          <w:sz w:val="22"/>
          <w:szCs w:val="22"/>
        </w:rPr>
      </w:pPr>
    </w:p>
    <w:sectPr w:rsidR="00612FB2" w:rsidRPr="005F44D0">
      <w:headerReference w:type="even" r:id="rId14"/>
      <w:headerReference w:type="default" r:id="rId15"/>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C36" w:rsidRDefault="00DF6C36">
      <w:r>
        <w:separator/>
      </w:r>
    </w:p>
  </w:endnote>
  <w:endnote w:type="continuationSeparator" w:id="0">
    <w:p w:rsidR="00DF6C36" w:rsidRDefault="00DF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ibre Baskerville">
    <w:altName w:val="Calibri"/>
    <w:panose1 w:val="020B0604020202020204"/>
    <w:charset w:val="00"/>
    <w:family w:val="auto"/>
    <w:pitch w:val="default"/>
  </w:font>
  <w:font w:name="Arim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C36" w:rsidRDefault="00DF6C36">
      <w:r>
        <w:separator/>
      </w:r>
    </w:p>
  </w:footnote>
  <w:footnote w:type="continuationSeparator" w:id="0">
    <w:p w:rsidR="00DF6C36" w:rsidRDefault="00DF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B2" w:rsidRDefault="00612FB2">
    <w:pPr>
      <w:tabs>
        <w:tab w:val="center" w:pos="4680"/>
        <w:tab w:val="right" w:pos="9360"/>
      </w:tabs>
      <w:jc w:val="right"/>
    </w:pPr>
  </w:p>
  <w:p w:rsidR="00612FB2" w:rsidRDefault="00634FFE">
    <w:pPr>
      <w:tabs>
        <w:tab w:val="center" w:pos="4680"/>
        <w:tab w:val="right" w:pos="9360"/>
      </w:tabs>
      <w:ind w:right="360"/>
    </w:pPr>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B2" w:rsidRDefault="00634FFE">
    <w:pPr>
      <w:tabs>
        <w:tab w:val="center" w:pos="4680"/>
        <w:tab w:val="right" w:pos="9360"/>
      </w:tabs>
      <w:jc w:val="right"/>
    </w:pPr>
    <w:r>
      <w:fldChar w:fldCharType="begin"/>
    </w:r>
    <w:r>
      <w:instrText>PAGE</w:instrText>
    </w:r>
    <w:r>
      <w:fldChar w:fldCharType="separate"/>
    </w:r>
    <w:r w:rsidR="005F44D0">
      <w:rPr>
        <w:noProof/>
      </w:rPr>
      <w:t>2</w:t>
    </w:r>
    <w:r>
      <w:fldChar w:fldCharType="end"/>
    </w:r>
  </w:p>
  <w:p w:rsidR="00612FB2" w:rsidRDefault="00612FB2">
    <w:pPr>
      <w:tabs>
        <w:tab w:val="center" w:pos="4680"/>
        <w:tab w:val="right" w:pos="936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42908"/>
    <w:multiLevelType w:val="multilevel"/>
    <w:tmpl w:val="991C5F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B2"/>
    <w:rsid w:val="0015226C"/>
    <w:rsid w:val="005F44D0"/>
    <w:rsid w:val="00612FB2"/>
    <w:rsid w:val="00634FFE"/>
    <w:rsid w:val="00671340"/>
    <w:rsid w:val="00774AB0"/>
    <w:rsid w:val="007F5813"/>
    <w:rsid w:val="00800A2E"/>
    <w:rsid w:val="00A34DA0"/>
    <w:rsid w:val="00D50814"/>
    <w:rsid w:val="00D75069"/>
    <w:rsid w:val="00DA4F9C"/>
    <w:rsid w:val="00DF6C36"/>
    <w:rsid w:val="00E435B5"/>
    <w:rsid w:val="00F1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CE1F8-F273-524F-AD9C-4B58F33E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Helvetica Neue" w:eastAsia="Helvetica Neue" w:hAnsi="Helvetica Neue" w:cs="Helvetica Neue"/>
      <w:color w:val="2E769E"/>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OC2">
    <w:name w:val="toc 2"/>
    <w:basedOn w:val="Normal"/>
    <w:next w:val="Normal"/>
    <w:autoRedefine/>
    <w:uiPriority w:val="39"/>
    <w:unhideWhenUsed/>
    <w:rsid w:val="005F44D0"/>
    <w:pPr>
      <w:spacing w:after="100"/>
      <w:ind w:left="240"/>
    </w:pPr>
  </w:style>
  <w:style w:type="character" w:styleId="Hyperlink">
    <w:name w:val="Hyperlink"/>
    <w:basedOn w:val="DefaultParagraphFont"/>
    <w:uiPriority w:val="99"/>
    <w:unhideWhenUsed/>
    <w:rsid w:val="005F44D0"/>
    <w:rPr>
      <w:color w:val="0000FF" w:themeColor="hyperlink"/>
      <w:u w:val="single"/>
    </w:rPr>
  </w:style>
  <w:style w:type="paragraph" w:styleId="BalloonText">
    <w:name w:val="Balloon Text"/>
    <w:basedOn w:val="Normal"/>
    <w:link w:val="BalloonTextChar"/>
    <w:uiPriority w:val="99"/>
    <w:semiHidden/>
    <w:unhideWhenUsed/>
    <w:rsid w:val="007F5813"/>
    <w:rPr>
      <w:sz w:val="18"/>
      <w:szCs w:val="18"/>
    </w:rPr>
  </w:style>
  <w:style w:type="character" w:customStyle="1" w:styleId="BalloonTextChar">
    <w:name w:val="Balloon Text Char"/>
    <w:basedOn w:val="DefaultParagraphFont"/>
    <w:link w:val="BalloonText"/>
    <w:uiPriority w:val="99"/>
    <w:semiHidden/>
    <w:rsid w:val="007F58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tforjusticef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r.org/sections/health-shots/2016/04/24/475461959/how-talking-openly-against-stigma-helped-a-mother-and-son-cope-with-bipolar-dis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bailfundresour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imeo.com/259738795" TargetMode="External"/><Relationship Id="rId4" Type="http://schemas.openxmlformats.org/officeDocument/2006/relationships/settings" Target="settings.xml"/><Relationship Id="rId9" Type="http://schemas.openxmlformats.org/officeDocument/2006/relationships/hyperlink" Target="https://nyu.qualtrics.com/jfe/form/SV_7X4ETNRjU7Da8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979C-6B4F-4547-A1DF-AD3614C7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Sundstrom, Katherine</cp:lastModifiedBy>
  <cp:revision>4</cp:revision>
  <cp:lastPrinted>2018-04-03T20:03:00Z</cp:lastPrinted>
  <dcterms:created xsi:type="dcterms:W3CDTF">2018-04-06T04:14:00Z</dcterms:created>
  <dcterms:modified xsi:type="dcterms:W3CDTF">2018-04-06T16:31:00Z</dcterms:modified>
</cp:coreProperties>
</file>